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F5" w:rsidRPr="0042625D" w:rsidRDefault="00721F8A" w:rsidP="00721F8A">
      <w:pPr>
        <w:tabs>
          <w:tab w:val="left" w:pos="3740"/>
        </w:tabs>
        <w:jc w:val="center"/>
        <w:rPr>
          <w:b/>
        </w:rPr>
      </w:pPr>
      <w:bookmarkStart w:id="0" w:name="_GoBack"/>
      <w:bookmarkEnd w:id="0"/>
      <w:r w:rsidRPr="0042625D">
        <w:rPr>
          <w:b/>
        </w:rPr>
        <w:t>The Shakespeare Birthplace Trust</w:t>
      </w:r>
    </w:p>
    <w:p w:rsidR="00721F8A" w:rsidRPr="0042625D" w:rsidRDefault="00721F8A" w:rsidP="00721F8A">
      <w:pPr>
        <w:tabs>
          <w:tab w:val="left" w:pos="3740"/>
        </w:tabs>
        <w:jc w:val="center"/>
        <w:rPr>
          <w:b/>
        </w:rPr>
      </w:pPr>
      <w:r w:rsidRPr="0042625D">
        <w:rPr>
          <w:b/>
        </w:rPr>
        <w:t>Schedule of Charity Trustees</w:t>
      </w:r>
    </w:p>
    <w:p w:rsidR="00721F8A" w:rsidRPr="0042625D" w:rsidRDefault="00721F8A" w:rsidP="00721F8A">
      <w:pPr>
        <w:tabs>
          <w:tab w:val="left" w:pos="3740"/>
        </w:tabs>
        <w:jc w:val="center"/>
        <w:rPr>
          <w:b/>
        </w:rPr>
      </w:pPr>
      <w:r w:rsidRPr="0042625D">
        <w:rPr>
          <w:b/>
        </w:rPr>
        <w:t>(</w:t>
      </w:r>
      <w:proofErr w:type="gramStart"/>
      <w:r w:rsidRPr="0042625D">
        <w:rPr>
          <w:b/>
        </w:rPr>
        <w:t>references</w:t>
      </w:r>
      <w:proofErr w:type="gramEnd"/>
      <w:r w:rsidRPr="0042625D">
        <w:rPr>
          <w:b/>
        </w:rPr>
        <w:t xml:space="preserve"> to statutory authorities are to the Shakespeare Birthplace, </w:t>
      </w:r>
      <w:r w:rsidR="00C03B43" w:rsidRPr="0042625D">
        <w:rPr>
          <w:b/>
        </w:rPr>
        <w:t>&amp; c.,</w:t>
      </w:r>
      <w:r w:rsidRPr="0042625D">
        <w:rPr>
          <w:b/>
        </w:rPr>
        <w:t xml:space="preserve"> Trust Act 1961 unless otherwise specified)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668"/>
        <w:gridCol w:w="2551"/>
        <w:gridCol w:w="2126"/>
        <w:gridCol w:w="2694"/>
        <w:gridCol w:w="5670"/>
      </w:tblGrid>
      <w:tr w:rsidR="00721F8A" w:rsidTr="001452D2">
        <w:tc>
          <w:tcPr>
            <w:tcW w:w="1668" w:type="dxa"/>
            <w:tcBorders>
              <w:bottom w:val="single" w:sz="4" w:space="0" w:color="auto"/>
            </w:tcBorders>
          </w:tcPr>
          <w:p w:rsidR="00721F8A" w:rsidRDefault="00C03B43" w:rsidP="00721F8A">
            <w:pPr>
              <w:tabs>
                <w:tab w:val="left" w:pos="3740"/>
              </w:tabs>
              <w:jc w:val="center"/>
            </w:pPr>
            <w:r>
              <w:t>Types of Trustee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21F8A" w:rsidRDefault="00721F8A" w:rsidP="00721F8A">
            <w:pPr>
              <w:tabs>
                <w:tab w:val="left" w:pos="3740"/>
              </w:tabs>
              <w:jc w:val="center"/>
            </w:pPr>
            <w:r>
              <w:t>Current Appointments/</w:t>
            </w:r>
          </w:p>
          <w:p w:rsidR="00721F8A" w:rsidRDefault="00721F8A" w:rsidP="00721F8A">
            <w:pPr>
              <w:tabs>
                <w:tab w:val="left" w:pos="3740"/>
              </w:tabs>
              <w:jc w:val="center"/>
            </w:pPr>
            <w:r>
              <w:t>Appointing Bodies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1F8A" w:rsidRDefault="00721F8A" w:rsidP="00721F8A">
            <w:pPr>
              <w:tabs>
                <w:tab w:val="left" w:pos="3740"/>
              </w:tabs>
              <w:jc w:val="center"/>
            </w:pPr>
            <w:r>
              <w:t>Former Appointments/</w:t>
            </w:r>
          </w:p>
          <w:p w:rsidR="00721F8A" w:rsidRDefault="00721F8A" w:rsidP="00721F8A">
            <w:pPr>
              <w:tabs>
                <w:tab w:val="left" w:pos="3740"/>
              </w:tabs>
              <w:jc w:val="center"/>
            </w:pPr>
            <w:r>
              <w:t>Appointing Bodies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21F8A" w:rsidRDefault="00721F8A" w:rsidP="00721F8A">
            <w:pPr>
              <w:tabs>
                <w:tab w:val="left" w:pos="3740"/>
              </w:tabs>
              <w:jc w:val="center"/>
            </w:pPr>
            <w:r>
              <w:t>Statutory Authority or Authority under Section 2, paragraph 1(3)</w:t>
            </w:r>
          </w:p>
        </w:tc>
        <w:tc>
          <w:tcPr>
            <w:tcW w:w="5670" w:type="dxa"/>
          </w:tcPr>
          <w:p w:rsidR="00721F8A" w:rsidRDefault="00721F8A" w:rsidP="00721F8A">
            <w:pPr>
              <w:tabs>
                <w:tab w:val="left" w:pos="3740"/>
              </w:tabs>
              <w:jc w:val="center"/>
            </w:pPr>
            <w:r>
              <w:t>Notes</w:t>
            </w:r>
          </w:p>
        </w:tc>
      </w:tr>
      <w:tr w:rsidR="00721F8A" w:rsidTr="001452D2">
        <w:tc>
          <w:tcPr>
            <w:tcW w:w="1668" w:type="dxa"/>
            <w:tcBorders>
              <w:bottom w:val="single" w:sz="4" w:space="0" w:color="auto"/>
            </w:tcBorders>
          </w:tcPr>
          <w:p w:rsidR="00721F8A" w:rsidRDefault="00C03B43" w:rsidP="00874345">
            <w:pPr>
              <w:tabs>
                <w:tab w:val="left" w:pos="3740"/>
              </w:tabs>
            </w:pPr>
            <w:r>
              <w:t>Ex-officio Trustees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21F8A" w:rsidRDefault="00721F8A" w:rsidP="00874345">
            <w:pPr>
              <w:tabs>
                <w:tab w:val="left" w:pos="3740"/>
              </w:tabs>
            </w:pPr>
            <w:r>
              <w:t>Lord Lieutenant of Warwickshire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1F8A" w:rsidRDefault="00721F8A" w:rsidP="00874345">
            <w:pPr>
              <w:tabs>
                <w:tab w:val="left" w:pos="3740"/>
              </w:tabs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21F8A" w:rsidRDefault="00721F8A" w:rsidP="00874345">
            <w:pPr>
              <w:tabs>
                <w:tab w:val="left" w:pos="3740"/>
              </w:tabs>
            </w:pPr>
            <w:r>
              <w:t>Schedule 2, para.1(1)(a)(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670" w:type="dxa"/>
          </w:tcPr>
          <w:p w:rsidR="00721F8A" w:rsidRDefault="00721F8A" w:rsidP="00874345">
            <w:pPr>
              <w:tabs>
                <w:tab w:val="left" w:pos="3740"/>
              </w:tabs>
            </w:pPr>
          </w:p>
        </w:tc>
      </w:tr>
      <w:tr w:rsidR="00721F8A" w:rsidTr="001452D2">
        <w:tc>
          <w:tcPr>
            <w:tcW w:w="1668" w:type="dxa"/>
            <w:tcBorders>
              <w:top w:val="single" w:sz="4" w:space="0" w:color="auto"/>
            </w:tcBorders>
          </w:tcPr>
          <w:p w:rsidR="00721F8A" w:rsidRDefault="00721F8A" w:rsidP="00874345">
            <w:pPr>
              <w:tabs>
                <w:tab w:val="left" w:pos="3740"/>
              </w:tabs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21F8A" w:rsidRDefault="00721F8A" w:rsidP="00874345">
            <w:pPr>
              <w:tabs>
                <w:tab w:val="left" w:pos="3740"/>
              </w:tabs>
            </w:pPr>
            <w:r>
              <w:t>High Steward of</w:t>
            </w:r>
            <w:r w:rsidR="00785AAF">
              <w:t xml:space="preserve"> Stratford upon Avon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21F8A" w:rsidRDefault="00785AAF" w:rsidP="00874345">
            <w:pPr>
              <w:tabs>
                <w:tab w:val="left" w:pos="3740"/>
              </w:tabs>
            </w:pPr>
            <w:r>
              <w:t>High Steward of the Borough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21F8A" w:rsidRDefault="00721F8A" w:rsidP="00874345">
            <w:pPr>
              <w:tabs>
                <w:tab w:val="left" w:pos="3740"/>
              </w:tabs>
            </w:pPr>
            <w:r>
              <w:t>Schedule 2, para.1(1)(a)(ii)</w:t>
            </w:r>
          </w:p>
        </w:tc>
        <w:tc>
          <w:tcPr>
            <w:tcW w:w="5670" w:type="dxa"/>
          </w:tcPr>
          <w:p w:rsidR="00721F8A" w:rsidRDefault="00785AAF" w:rsidP="00874345">
            <w:pPr>
              <w:tabs>
                <w:tab w:val="left" w:pos="3740"/>
              </w:tabs>
            </w:pPr>
            <w:r>
              <w:t>Replaces the High Steward of the Borough by virtue of the Local Government Act 1972</w:t>
            </w:r>
          </w:p>
        </w:tc>
      </w:tr>
      <w:tr w:rsidR="00721F8A" w:rsidTr="00274152">
        <w:tc>
          <w:tcPr>
            <w:tcW w:w="1668" w:type="dxa"/>
          </w:tcPr>
          <w:p w:rsidR="00721F8A" w:rsidRDefault="00721F8A" w:rsidP="00874345">
            <w:pPr>
              <w:tabs>
                <w:tab w:val="left" w:pos="3740"/>
              </w:tabs>
            </w:pPr>
          </w:p>
        </w:tc>
        <w:tc>
          <w:tcPr>
            <w:tcW w:w="2551" w:type="dxa"/>
          </w:tcPr>
          <w:p w:rsidR="00721F8A" w:rsidRDefault="00C03B43" w:rsidP="00874345">
            <w:pPr>
              <w:tabs>
                <w:tab w:val="left" w:pos="3740"/>
              </w:tabs>
            </w:pPr>
            <w:r>
              <w:t xml:space="preserve">Town </w:t>
            </w:r>
            <w:r w:rsidR="00721F8A">
              <w:t>Mayor of</w:t>
            </w:r>
            <w:r>
              <w:t xml:space="preserve"> Stratford</w:t>
            </w:r>
          </w:p>
        </w:tc>
        <w:tc>
          <w:tcPr>
            <w:tcW w:w="2126" w:type="dxa"/>
          </w:tcPr>
          <w:p w:rsidR="00721F8A" w:rsidRDefault="00785AAF" w:rsidP="00874345">
            <w:pPr>
              <w:tabs>
                <w:tab w:val="left" w:pos="3740"/>
              </w:tabs>
            </w:pPr>
            <w:r>
              <w:t>Mayor of the Borough</w:t>
            </w:r>
          </w:p>
        </w:tc>
        <w:tc>
          <w:tcPr>
            <w:tcW w:w="2694" w:type="dxa"/>
          </w:tcPr>
          <w:p w:rsidR="00721F8A" w:rsidRDefault="00721F8A" w:rsidP="00874345">
            <w:pPr>
              <w:tabs>
                <w:tab w:val="left" w:pos="3740"/>
              </w:tabs>
            </w:pPr>
            <w:r>
              <w:t>Schedule 2, para.1(1)(a)(iii)</w:t>
            </w:r>
          </w:p>
        </w:tc>
        <w:tc>
          <w:tcPr>
            <w:tcW w:w="5670" w:type="dxa"/>
          </w:tcPr>
          <w:p w:rsidR="00721F8A" w:rsidRDefault="00721F8A" w:rsidP="00874345">
            <w:pPr>
              <w:tabs>
                <w:tab w:val="left" w:pos="3740"/>
              </w:tabs>
            </w:pPr>
            <w:r>
              <w:t xml:space="preserve">Replaces the Mayor of the Borough by virtue of </w:t>
            </w:r>
            <w:r w:rsidR="00785AAF">
              <w:t>the Local Government Act 1972</w:t>
            </w:r>
          </w:p>
        </w:tc>
      </w:tr>
      <w:tr w:rsidR="00721F8A" w:rsidTr="00274152">
        <w:tc>
          <w:tcPr>
            <w:tcW w:w="1668" w:type="dxa"/>
          </w:tcPr>
          <w:p w:rsidR="00721F8A" w:rsidRDefault="00721F8A" w:rsidP="00874345">
            <w:pPr>
              <w:tabs>
                <w:tab w:val="left" w:pos="3740"/>
              </w:tabs>
            </w:pPr>
          </w:p>
        </w:tc>
        <w:tc>
          <w:tcPr>
            <w:tcW w:w="2551" w:type="dxa"/>
          </w:tcPr>
          <w:p w:rsidR="00721F8A" w:rsidRDefault="00721F8A" w:rsidP="00874345">
            <w:pPr>
              <w:tabs>
                <w:tab w:val="left" w:pos="3740"/>
              </w:tabs>
            </w:pPr>
          </w:p>
        </w:tc>
        <w:tc>
          <w:tcPr>
            <w:tcW w:w="2126" w:type="dxa"/>
          </w:tcPr>
          <w:p w:rsidR="00721F8A" w:rsidRDefault="00C03B43" w:rsidP="00874345">
            <w:pPr>
              <w:tabs>
                <w:tab w:val="left" w:pos="3740"/>
              </w:tabs>
            </w:pPr>
            <w:r>
              <w:t>Three</w:t>
            </w:r>
            <w:r w:rsidR="00A84B24">
              <w:t xml:space="preserve"> Aldermen of the Borough approved by the Borough Council</w:t>
            </w:r>
          </w:p>
        </w:tc>
        <w:tc>
          <w:tcPr>
            <w:tcW w:w="2694" w:type="dxa"/>
          </w:tcPr>
          <w:p w:rsidR="00721F8A" w:rsidRDefault="00C03B43" w:rsidP="00874345">
            <w:pPr>
              <w:tabs>
                <w:tab w:val="left" w:pos="3740"/>
              </w:tabs>
            </w:pPr>
            <w:r>
              <w:t>Schedule 2, para.1(1)(a)(iv)</w:t>
            </w:r>
          </w:p>
        </w:tc>
        <w:tc>
          <w:tcPr>
            <w:tcW w:w="5670" w:type="dxa"/>
          </w:tcPr>
          <w:p w:rsidR="00721F8A" w:rsidRDefault="00A84B24" w:rsidP="00874345">
            <w:pPr>
              <w:tabs>
                <w:tab w:val="left" w:pos="3740"/>
              </w:tabs>
            </w:pPr>
            <w:r>
              <w:t>No corresponding office under Local Government Act 1972</w:t>
            </w:r>
            <w:r w:rsidR="00785AAF">
              <w:t xml:space="preserve"> (advised by counsel in opinion dated 7 May 1975)</w:t>
            </w:r>
          </w:p>
        </w:tc>
      </w:tr>
      <w:tr w:rsidR="00721F8A" w:rsidTr="00274152">
        <w:tc>
          <w:tcPr>
            <w:tcW w:w="1668" w:type="dxa"/>
          </w:tcPr>
          <w:p w:rsidR="00721F8A" w:rsidRDefault="00721F8A" w:rsidP="00874345">
            <w:pPr>
              <w:tabs>
                <w:tab w:val="left" w:pos="3740"/>
              </w:tabs>
            </w:pPr>
          </w:p>
        </w:tc>
        <w:tc>
          <w:tcPr>
            <w:tcW w:w="2551" w:type="dxa"/>
          </w:tcPr>
          <w:p w:rsidR="00721F8A" w:rsidRDefault="00A84B24" w:rsidP="00874345">
            <w:pPr>
              <w:tabs>
                <w:tab w:val="left" w:pos="3740"/>
              </w:tabs>
            </w:pPr>
            <w:r>
              <w:t>Bishop of Diocese of Coventry</w:t>
            </w:r>
          </w:p>
        </w:tc>
        <w:tc>
          <w:tcPr>
            <w:tcW w:w="2126" w:type="dxa"/>
          </w:tcPr>
          <w:p w:rsidR="00721F8A" w:rsidRDefault="00721F8A" w:rsidP="00874345">
            <w:pPr>
              <w:tabs>
                <w:tab w:val="left" w:pos="3740"/>
              </w:tabs>
            </w:pPr>
          </w:p>
        </w:tc>
        <w:tc>
          <w:tcPr>
            <w:tcW w:w="2694" w:type="dxa"/>
          </w:tcPr>
          <w:p w:rsidR="00721F8A" w:rsidRDefault="00C03B43" w:rsidP="00874345">
            <w:pPr>
              <w:tabs>
                <w:tab w:val="left" w:pos="3740"/>
              </w:tabs>
            </w:pPr>
            <w:r>
              <w:t>Schedule 2, para.1(1)(a)(v)</w:t>
            </w:r>
          </w:p>
        </w:tc>
        <w:tc>
          <w:tcPr>
            <w:tcW w:w="5670" w:type="dxa"/>
          </w:tcPr>
          <w:p w:rsidR="00721F8A" w:rsidRDefault="00721F8A" w:rsidP="00874345">
            <w:pPr>
              <w:tabs>
                <w:tab w:val="left" w:pos="3740"/>
              </w:tabs>
            </w:pPr>
          </w:p>
        </w:tc>
      </w:tr>
      <w:tr w:rsidR="00721F8A" w:rsidTr="00274152">
        <w:tc>
          <w:tcPr>
            <w:tcW w:w="1668" w:type="dxa"/>
          </w:tcPr>
          <w:p w:rsidR="00721F8A" w:rsidRDefault="00721F8A" w:rsidP="00874345">
            <w:pPr>
              <w:tabs>
                <w:tab w:val="left" w:pos="3740"/>
              </w:tabs>
            </w:pPr>
          </w:p>
        </w:tc>
        <w:tc>
          <w:tcPr>
            <w:tcW w:w="2551" w:type="dxa"/>
          </w:tcPr>
          <w:p w:rsidR="00721F8A" w:rsidRDefault="00A84B24" w:rsidP="00874345">
            <w:pPr>
              <w:tabs>
                <w:tab w:val="left" w:pos="3740"/>
              </w:tabs>
            </w:pPr>
            <w:r>
              <w:t>Vicar of</w:t>
            </w:r>
            <w:r w:rsidR="00B11560">
              <w:t xml:space="preserve"> Collegiate</w:t>
            </w:r>
            <w:r>
              <w:t xml:space="preserve"> Church of Holy Trinity</w:t>
            </w:r>
          </w:p>
        </w:tc>
        <w:tc>
          <w:tcPr>
            <w:tcW w:w="2126" w:type="dxa"/>
          </w:tcPr>
          <w:p w:rsidR="00721F8A" w:rsidRDefault="00721F8A" w:rsidP="00874345">
            <w:pPr>
              <w:tabs>
                <w:tab w:val="left" w:pos="3740"/>
              </w:tabs>
            </w:pPr>
          </w:p>
        </w:tc>
        <w:tc>
          <w:tcPr>
            <w:tcW w:w="2694" w:type="dxa"/>
          </w:tcPr>
          <w:p w:rsidR="00721F8A" w:rsidRDefault="00C03B43" w:rsidP="00874345">
            <w:pPr>
              <w:tabs>
                <w:tab w:val="left" w:pos="3740"/>
              </w:tabs>
            </w:pPr>
            <w:r>
              <w:t>Schedule 2, para.1(1)(a)(vi)</w:t>
            </w:r>
          </w:p>
        </w:tc>
        <w:tc>
          <w:tcPr>
            <w:tcW w:w="5670" w:type="dxa"/>
          </w:tcPr>
          <w:p w:rsidR="00721F8A" w:rsidRDefault="00721F8A" w:rsidP="00874345">
            <w:pPr>
              <w:tabs>
                <w:tab w:val="left" w:pos="3740"/>
              </w:tabs>
            </w:pPr>
          </w:p>
        </w:tc>
      </w:tr>
      <w:tr w:rsidR="00721F8A" w:rsidTr="00274152">
        <w:tc>
          <w:tcPr>
            <w:tcW w:w="1668" w:type="dxa"/>
          </w:tcPr>
          <w:p w:rsidR="00721F8A" w:rsidRDefault="00721F8A" w:rsidP="00874345">
            <w:pPr>
              <w:tabs>
                <w:tab w:val="left" w:pos="3740"/>
              </w:tabs>
            </w:pPr>
          </w:p>
        </w:tc>
        <w:tc>
          <w:tcPr>
            <w:tcW w:w="2551" w:type="dxa"/>
          </w:tcPr>
          <w:p w:rsidR="00721F8A" w:rsidRDefault="00A84B24" w:rsidP="00874345">
            <w:pPr>
              <w:tabs>
                <w:tab w:val="left" w:pos="3740"/>
              </w:tabs>
            </w:pPr>
            <w:r>
              <w:t>Head Master of King Edward VI School</w:t>
            </w:r>
          </w:p>
        </w:tc>
        <w:tc>
          <w:tcPr>
            <w:tcW w:w="2126" w:type="dxa"/>
          </w:tcPr>
          <w:p w:rsidR="00721F8A" w:rsidRDefault="00721F8A" w:rsidP="00874345">
            <w:pPr>
              <w:tabs>
                <w:tab w:val="left" w:pos="3740"/>
              </w:tabs>
            </w:pPr>
          </w:p>
        </w:tc>
        <w:tc>
          <w:tcPr>
            <w:tcW w:w="2694" w:type="dxa"/>
          </w:tcPr>
          <w:p w:rsidR="00721F8A" w:rsidRDefault="00C03B43" w:rsidP="00874345">
            <w:pPr>
              <w:tabs>
                <w:tab w:val="left" w:pos="3740"/>
              </w:tabs>
            </w:pPr>
            <w:r>
              <w:t>Schedule 2, para.1(1)(a)(vii)</w:t>
            </w:r>
          </w:p>
        </w:tc>
        <w:tc>
          <w:tcPr>
            <w:tcW w:w="5670" w:type="dxa"/>
          </w:tcPr>
          <w:p w:rsidR="00721F8A" w:rsidRDefault="00721F8A" w:rsidP="00874345">
            <w:pPr>
              <w:tabs>
                <w:tab w:val="left" w:pos="3740"/>
              </w:tabs>
            </w:pPr>
          </w:p>
        </w:tc>
      </w:tr>
      <w:tr w:rsidR="00A84B24" w:rsidTr="00274152">
        <w:tc>
          <w:tcPr>
            <w:tcW w:w="1668" w:type="dxa"/>
          </w:tcPr>
          <w:p w:rsidR="00A84B24" w:rsidRDefault="00A84B24" w:rsidP="00874345">
            <w:pPr>
              <w:tabs>
                <w:tab w:val="left" w:pos="3740"/>
              </w:tabs>
            </w:pPr>
            <w:r>
              <w:t>Twelve Life Trustees appointed by the Trustees</w:t>
            </w:r>
          </w:p>
        </w:tc>
        <w:tc>
          <w:tcPr>
            <w:tcW w:w="2551" w:type="dxa"/>
          </w:tcPr>
          <w:p w:rsidR="00A84B24" w:rsidRDefault="00A84B24" w:rsidP="00874345">
            <w:pPr>
              <w:tabs>
                <w:tab w:val="left" w:pos="3740"/>
              </w:tabs>
            </w:pPr>
          </w:p>
          <w:p w:rsidR="00A84B24" w:rsidRDefault="00A84B24" w:rsidP="00874345">
            <w:pPr>
              <w:tabs>
                <w:tab w:val="left" w:pos="3740"/>
              </w:tabs>
            </w:pPr>
          </w:p>
          <w:p w:rsidR="00785AAF" w:rsidRDefault="00785AAF" w:rsidP="00874345">
            <w:pPr>
              <w:tabs>
                <w:tab w:val="left" w:pos="3740"/>
              </w:tabs>
            </w:pPr>
          </w:p>
          <w:p w:rsidR="00A84B24" w:rsidRDefault="00A84B24" w:rsidP="00874345">
            <w:pPr>
              <w:tabs>
                <w:tab w:val="left" w:pos="3740"/>
              </w:tabs>
            </w:pPr>
          </w:p>
        </w:tc>
        <w:tc>
          <w:tcPr>
            <w:tcW w:w="2126" w:type="dxa"/>
          </w:tcPr>
          <w:p w:rsidR="00A84B24" w:rsidRDefault="00A84B24" w:rsidP="00874345">
            <w:pPr>
              <w:tabs>
                <w:tab w:val="left" w:pos="3740"/>
              </w:tabs>
            </w:pPr>
          </w:p>
        </w:tc>
        <w:tc>
          <w:tcPr>
            <w:tcW w:w="2694" w:type="dxa"/>
          </w:tcPr>
          <w:p w:rsidR="00A84B24" w:rsidRDefault="00A84B24" w:rsidP="00874345">
            <w:pPr>
              <w:tabs>
                <w:tab w:val="left" w:pos="3740"/>
              </w:tabs>
            </w:pPr>
            <w:r>
              <w:t>Schedule 2, para.1(1)(b)</w:t>
            </w:r>
          </w:p>
        </w:tc>
        <w:tc>
          <w:tcPr>
            <w:tcW w:w="5670" w:type="dxa"/>
          </w:tcPr>
          <w:p w:rsidR="00A84B24" w:rsidRDefault="00A84B24" w:rsidP="00874345">
            <w:pPr>
              <w:tabs>
                <w:tab w:val="left" w:pos="3740"/>
              </w:tabs>
            </w:pPr>
          </w:p>
        </w:tc>
      </w:tr>
      <w:tr w:rsidR="00A84B24" w:rsidTr="00274152">
        <w:tc>
          <w:tcPr>
            <w:tcW w:w="1668" w:type="dxa"/>
          </w:tcPr>
          <w:p w:rsidR="00A84B24" w:rsidRDefault="00A84B24" w:rsidP="00874345">
            <w:pPr>
              <w:tabs>
                <w:tab w:val="left" w:pos="3740"/>
              </w:tabs>
            </w:pPr>
            <w:r>
              <w:t>Representative Trustees appointed by bodies listed</w:t>
            </w:r>
          </w:p>
        </w:tc>
        <w:tc>
          <w:tcPr>
            <w:tcW w:w="2551" w:type="dxa"/>
          </w:tcPr>
          <w:p w:rsidR="00A84B24" w:rsidRDefault="00A84B24" w:rsidP="00874345">
            <w:pPr>
              <w:tabs>
                <w:tab w:val="left" w:pos="3740"/>
              </w:tabs>
            </w:pPr>
          </w:p>
        </w:tc>
        <w:tc>
          <w:tcPr>
            <w:tcW w:w="2126" w:type="dxa"/>
          </w:tcPr>
          <w:p w:rsidR="00A84B24" w:rsidRDefault="00785AAF" w:rsidP="00874345">
            <w:pPr>
              <w:tabs>
                <w:tab w:val="left" w:pos="3740"/>
              </w:tabs>
            </w:pPr>
            <w:r>
              <w:t>Arts Council of England</w:t>
            </w:r>
          </w:p>
        </w:tc>
        <w:tc>
          <w:tcPr>
            <w:tcW w:w="2694" w:type="dxa"/>
          </w:tcPr>
          <w:p w:rsidR="00A84B24" w:rsidRDefault="00B11560" w:rsidP="00874345">
            <w:pPr>
              <w:tabs>
                <w:tab w:val="left" w:pos="3740"/>
              </w:tabs>
            </w:pPr>
            <w:r>
              <w:t xml:space="preserve">Schedule 2, para.1(2) </w:t>
            </w:r>
          </w:p>
        </w:tc>
        <w:tc>
          <w:tcPr>
            <w:tcW w:w="5670" w:type="dxa"/>
          </w:tcPr>
          <w:p w:rsidR="00A84B24" w:rsidRDefault="00785AAF" w:rsidP="00874345">
            <w:pPr>
              <w:tabs>
                <w:tab w:val="left" w:pos="3740"/>
              </w:tabs>
            </w:pPr>
            <w:r>
              <w:t>Changed its name from Arts Council of Great Britain in 1994.  Agreed to stand down as a representative body in December 2011</w:t>
            </w:r>
          </w:p>
        </w:tc>
      </w:tr>
      <w:tr w:rsidR="00A84B24" w:rsidTr="00274152">
        <w:tc>
          <w:tcPr>
            <w:tcW w:w="1668" w:type="dxa"/>
          </w:tcPr>
          <w:p w:rsidR="00A84B24" w:rsidRDefault="00A84B24" w:rsidP="00874345">
            <w:pPr>
              <w:tabs>
                <w:tab w:val="left" w:pos="3740"/>
              </w:tabs>
            </w:pPr>
          </w:p>
        </w:tc>
        <w:tc>
          <w:tcPr>
            <w:tcW w:w="2551" w:type="dxa"/>
          </w:tcPr>
          <w:p w:rsidR="00A84B24" w:rsidRDefault="00A84B24" w:rsidP="00874345">
            <w:pPr>
              <w:tabs>
                <w:tab w:val="left" w:pos="3740"/>
              </w:tabs>
            </w:pPr>
            <w:r>
              <w:t xml:space="preserve">British </w:t>
            </w:r>
            <w:r w:rsidR="00785AAF">
              <w:t>Library</w:t>
            </w:r>
          </w:p>
        </w:tc>
        <w:tc>
          <w:tcPr>
            <w:tcW w:w="2126" w:type="dxa"/>
          </w:tcPr>
          <w:p w:rsidR="00A84B24" w:rsidRDefault="00A84B24" w:rsidP="00874345">
            <w:pPr>
              <w:tabs>
                <w:tab w:val="left" w:pos="3740"/>
              </w:tabs>
            </w:pPr>
          </w:p>
        </w:tc>
        <w:tc>
          <w:tcPr>
            <w:tcW w:w="2694" w:type="dxa"/>
          </w:tcPr>
          <w:p w:rsidR="00A84B24" w:rsidRDefault="00B11560" w:rsidP="00874345">
            <w:pPr>
              <w:tabs>
                <w:tab w:val="left" w:pos="3740"/>
              </w:tabs>
            </w:pPr>
            <w:r>
              <w:t xml:space="preserve">Schedule 2, para.1(2) </w:t>
            </w:r>
          </w:p>
        </w:tc>
        <w:tc>
          <w:tcPr>
            <w:tcW w:w="5670" w:type="dxa"/>
          </w:tcPr>
          <w:p w:rsidR="00A84B24" w:rsidRDefault="00785AAF" w:rsidP="00874345">
            <w:pPr>
              <w:tabs>
                <w:tab w:val="left" w:pos="3740"/>
              </w:tabs>
            </w:pPr>
            <w:r>
              <w:t>Appointed as representative body in place of the British Museum following t</w:t>
            </w:r>
            <w:r w:rsidR="00A84B24">
              <w:t>he Executive Comm</w:t>
            </w:r>
            <w:r w:rsidR="005D328E">
              <w:t>ittee Meeting on 14 August 1985.  T</w:t>
            </w:r>
            <w:r w:rsidR="009C2274">
              <w:t xml:space="preserve">he </w:t>
            </w:r>
            <w:r w:rsidR="00A84B24">
              <w:t xml:space="preserve">British </w:t>
            </w:r>
            <w:r w:rsidR="009C2274">
              <w:t>Library</w:t>
            </w:r>
            <w:r w:rsidR="00A84B24">
              <w:t xml:space="preserve"> </w:t>
            </w:r>
            <w:r w:rsidR="005D328E">
              <w:t xml:space="preserve">had been established by the British Library Act in 1972 as a result of which the </w:t>
            </w:r>
            <w:r w:rsidR="009C2274">
              <w:t>British Museum</w:t>
            </w:r>
            <w:r w:rsidR="005D328E">
              <w:t xml:space="preserve"> Library was transferred to it and therefore a representative of the British Library replaced th</w:t>
            </w:r>
            <w:r w:rsidR="002258EE">
              <w:t>e British Museum representative</w:t>
            </w:r>
          </w:p>
        </w:tc>
      </w:tr>
      <w:tr w:rsidR="00785AAF" w:rsidTr="00274152">
        <w:tc>
          <w:tcPr>
            <w:tcW w:w="1668" w:type="dxa"/>
          </w:tcPr>
          <w:p w:rsidR="00785AAF" w:rsidRDefault="00785AAF" w:rsidP="00874345">
            <w:pPr>
              <w:tabs>
                <w:tab w:val="left" w:pos="3740"/>
              </w:tabs>
            </w:pPr>
          </w:p>
        </w:tc>
        <w:tc>
          <w:tcPr>
            <w:tcW w:w="2551" w:type="dxa"/>
          </w:tcPr>
          <w:p w:rsidR="00785AAF" w:rsidRDefault="00785AAF" w:rsidP="00874345">
            <w:pPr>
              <w:tabs>
                <w:tab w:val="left" w:pos="3740"/>
              </w:tabs>
            </w:pPr>
          </w:p>
        </w:tc>
        <w:tc>
          <w:tcPr>
            <w:tcW w:w="2126" w:type="dxa"/>
          </w:tcPr>
          <w:p w:rsidR="00785AAF" w:rsidRDefault="00785AAF" w:rsidP="00874345">
            <w:pPr>
              <w:tabs>
                <w:tab w:val="left" w:pos="3740"/>
              </w:tabs>
            </w:pPr>
            <w:r>
              <w:t>British Museum</w:t>
            </w:r>
          </w:p>
        </w:tc>
        <w:tc>
          <w:tcPr>
            <w:tcW w:w="2694" w:type="dxa"/>
          </w:tcPr>
          <w:p w:rsidR="00785AAF" w:rsidRDefault="00785AAF" w:rsidP="00874345">
            <w:pPr>
              <w:tabs>
                <w:tab w:val="left" w:pos="3740"/>
              </w:tabs>
            </w:pPr>
          </w:p>
          <w:p w:rsidR="00274152" w:rsidRDefault="00274152" w:rsidP="00874345">
            <w:pPr>
              <w:tabs>
                <w:tab w:val="left" w:pos="3740"/>
              </w:tabs>
            </w:pPr>
          </w:p>
        </w:tc>
        <w:tc>
          <w:tcPr>
            <w:tcW w:w="5670" w:type="dxa"/>
          </w:tcPr>
          <w:p w:rsidR="00785AAF" w:rsidRDefault="00785AAF" w:rsidP="00874345">
            <w:pPr>
              <w:tabs>
                <w:tab w:val="left" w:pos="3740"/>
              </w:tabs>
            </w:pPr>
            <w:r>
              <w:t>See above</w:t>
            </w:r>
          </w:p>
        </w:tc>
      </w:tr>
      <w:tr w:rsidR="00A84B24" w:rsidTr="00274152">
        <w:tc>
          <w:tcPr>
            <w:tcW w:w="1668" w:type="dxa"/>
          </w:tcPr>
          <w:p w:rsidR="00A84B24" w:rsidRDefault="00A84B24" w:rsidP="00874345">
            <w:pPr>
              <w:tabs>
                <w:tab w:val="left" w:pos="3740"/>
              </w:tabs>
            </w:pPr>
          </w:p>
        </w:tc>
        <w:tc>
          <w:tcPr>
            <w:tcW w:w="2551" w:type="dxa"/>
          </w:tcPr>
          <w:p w:rsidR="00A84B24" w:rsidRDefault="00A84B24" w:rsidP="00874345">
            <w:pPr>
              <w:tabs>
                <w:tab w:val="left" w:pos="3740"/>
              </w:tabs>
            </w:pPr>
          </w:p>
        </w:tc>
        <w:tc>
          <w:tcPr>
            <w:tcW w:w="2126" w:type="dxa"/>
          </w:tcPr>
          <w:p w:rsidR="00A84B24" w:rsidRDefault="00785AAF" w:rsidP="00874345">
            <w:pPr>
              <w:tabs>
                <w:tab w:val="left" w:pos="3740"/>
              </w:tabs>
            </w:pPr>
            <w:r>
              <w:t>Warwickshire County Council</w:t>
            </w:r>
          </w:p>
        </w:tc>
        <w:tc>
          <w:tcPr>
            <w:tcW w:w="2694" w:type="dxa"/>
          </w:tcPr>
          <w:p w:rsidR="00A84B24" w:rsidRDefault="00B11560" w:rsidP="00874345">
            <w:pPr>
              <w:tabs>
                <w:tab w:val="left" w:pos="3740"/>
              </w:tabs>
            </w:pPr>
            <w:r>
              <w:t>Schedule 2, para.1(2</w:t>
            </w:r>
            <w:r w:rsidR="009C2274">
              <w:t>)</w:t>
            </w:r>
          </w:p>
        </w:tc>
        <w:tc>
          <w:tcPr>
            <w:tcW w:w="5670" w:type="dxa"/>
          </w:tcPr>
          <w:p w:rsidR="00A84B24" w:rsidRDefault="00785AAF" w:rsidP="00874345">
            <w:pPr>
              <w:tabs>
                <w:tab w:val="left" w:pos="3740"/>
              </w:tabs>
            </w:pPr>
            <w:r>
              <w:t xml:space="preserve">Stood down as a </w:t>
            </w:r>
            <w:r w:rsidR="00EC0FAC">
              <w:t xml:space="preserve">nominating body – announcement at </w:t>
            </w:r>
            <w:r w:rsidR="00FA1DF3">
              <w:t>A</w:t>
            </w:r>
            <w:r w:rsidR="00EC0FAC">
              <w:t xml:space="preserve">nnual </w:t>
            </w:r>
            <w:r w:rsidR="00FA1DF3">
              <w:t>M</w:t>
            </w:r>
            <w:r w:rsidR="00EC0FAC">
              <w:t>eeting</w:t>
            </w:r>
            <w:r>
              <w:t xml:space="preserve"> on the 14 June 2013</w:t>
            </w:r>
          </w:p>
        </w:tc>
      </w:tr>
      <w:tr w:rsidR="00A84B24" w:rsidTr="00274152">
        <w:tc>
          <w:tcPr>
            <w:tcW w:w="1668" w:type="dxa"/>
          </w:tcPr>
          <w:p w:rsidR="00A84B24" w:rsidRDefault="00A84B24" w:rsidP="00874345">
            <w:pPr>
              <w:tabs>
                <w:tab w:val="left" w:pos="3740"/>
              </w:tabs>
            </w:pPr>
          </w:p>
        </w:tc>
        <w:tc>
          <w:tcPr>
            <w:tcW w:w="2551" w:type="dxa"/>
          </w:tcPr>
          <w:p w:rsidR="00A84B24" w:rsidRDefault="00A84B24" w:rsidP="00874345">
            <w:pPr>
              <w:tabs>
                <w:tab w:val="left" w:pos="3740"/>
              </w:tabs>
            </w:pPr>
            <w:r>
              <w:t>National Trust</w:t>
            </w:r>
          </w:p>
        </w:tc>
        <w:tc>
          <w:tcPr>
            <w:tcW w:w="2126" w:type="dxa"/>
          </w:tcPr>
          <w:p w:rsidR="00A84B24" w:rsidRDefault="00A84B24" w:rsidP="00874345">
            <w:pPr>
              <w:tabs>
                <w:tab w:val="left" w:pos="3740"/>
              </w:tabs>
            </w:pPr>
          </w:p>
        </w:tc>
        <w:tc>
          <w:tcPr>
            <w:tcW w:w="2694" w:type="dxa"/>
          </w:tcPr>
          <w:p w:rsidR="00A84B24" w:rsidRDefault="00B11560" w:rsidP="00874345">
            <w:pPr>
              <w:tabs>
                <w:tab w:val="left" w:pos="3740"/>
              </w:tabs>
            </w:pPr>
            <w:r>
              <w:t xml:space="preserve">Schedule 2, para.1(2) </w:t>
            </w:r>
          </w:p>
          <w:p w:rsidR="00274152" w:rsidRDefault="00274152" w:rsidP="00874345">
            <w:pPr>
              <w:tabs>
                <w:tab w:val="left" w:pos="3740"/>
              </w:tabs>
            </w:pPr>
          </w:p>
        </w:tc>
        <w:tc>
          <w:tcPr>
            <w:tcW w:w="5670" w:type="dxa"/>
          </w:tcPr>
          <w:p w:rsidR="00A84B24" w:rsidRDefault="00A84B24" w:rsidP="00874345">
            <w:pPr>
              <w:tabs>
                <w:tab w:val="left" w:pos="3740"/>
              </w:tabs>
            </w:pPr>
          </w:p>
        </w:tc>
      </w:tr>
      <w:tr w:rsidR="00A84B24" w:rsidTr="00274152">
        <w:tc>
          <w:tcPr>
            <w:tcW w:w="1668" w:type="dxa"/>
          </w:tcPr>
          <w:p w:rsidR="00A84B24" w:rsidRDefault="00A84B24" w:rsidP="00874345">
            <w:pPr>
              <w:tabs>
                <w:tab w:val="left" w:pos="3740"/>
              </w:tabs>
            </w:pPr>
          </w:p>
        </w:tc>
        <w:tc>
          <w:tcPr>
            <w:tcW w:w="2551" w:type="dxa"/>
          </w:tcPr>
          <w:p w:rsidR="00A84B24" w:rsidRDefault="00A84B24" w:rsidP="00874345">
            <w:pPr>
              <w:tabs>
                <w:tab w:val="left" w:pos="3740"/>
              </w:tabs>
            </w:pPr>
            <w:r>
              <w:t xml:space="preserve">Shakespeare </w:t>
            </w:r>
            <w:r w:rsidR="00C03B43">
              <w:t>Memorial</w:t>
            </w:r>
            <w:r>
              <w:t xml:space="preserve"> Theatre</w:t>
            </w:r>
          </w:p>
        </w:tc>
        <w:tc>
          <w:tcPr>
            <w:tcW w:w="2126" w:type="dxa"/>
          </w:tcPr>
          <w:p w:rsidR="00A84B24" w:rsidRDefault="00A84B24" w:rsidP="00874345">
            <w:pPr>
              <w:tabs>
                <w:tab w:val="left" w:pos="3740"/>
              </w:tabs>
            </w:pPr>
          </w:p>
        </w:tc>
        <w:tc>
          <w:tcPr>
            <w:tcW w:w="2694" w:type="dxa"/>
          </w:tcPr>
          <w:p w:rsidR="00A84B24" w:rsidRDefault="00B11560" w:rsidP="00874345">
            <w:pPr>
              <w:tabs>
                <w:tab w:val="left" w:pos="3740"/>
              </w:tabs>
            </w:pPr>
            <w:r>
              <w:t xml:space="preserve">Schedule 2, para.1(2) </w:t>
            </w:r>
          </w:p>
        </w:tc>
        <w:tc>
          <w:tcPr>
            <w:tcW w:w="5670" w:type="dxa"/>
          </w:tcPr>
          <w:p w:rsidR="00A84B24" w:rsidRDefault="00C03B43" w:rsidP="00874345">
            <w:pPr>
              <w:tabs>
                <w:tab w:val="left" w:pos="3740"/>
              </w:tabs>
            </w:pPr>
            <w:r>
              <w:t>Now the Royal Shakespeare Company</w:t>
            </w:r>
          </w:p>
        </w:tc>
      </w:tr>
      <w:tr w:rsidR="00A84B24" w:rsidTr="00274152">
        <w:tc>
          <w:tcPr>
            <w:tcW w:w="1668" w:type="dxa"/>
          </w:tcPr>
          <w:p w:rsidR="00A84B24" w:rsidRDefault="00A84B24" w:rsidP="00874345">
            <w:pPr>
              <w:tabs>
                <w:tab w:val="left" w:pos="3740"/>
              </w:tabs>
            </w:pPr>
          </w:p>
        </w:tc>
        <w:tc>
          <w:tcPr>
            <w:tcW w:w="2551" w:type="dxa"/>
          </w:tcPr>
          <w:p w:rsidR="00A84B24" w:rsidRDefault="00B11560" w:rsidP="00874345">
            <w:pPr>
              <w:tabs>
                <w:tab w:val="left" w:pos="3740"/>
              </w:tabs>
            </w:pPr>
            <w:r>
              <w:t>University of Birmingham</w:t>
            </w:r>
          </w:p>
        </w:tc>
        <w:tc>
          <w:tcPr>
            <w:tcW w:w="2126" w:type="dxa"/>
          </w:tcPr>
          <w:p w:rsidR="00A84B24" w:rsidRDefault="00A84B24" w:rsidP="00874345">
            <w:pPr>
              <w:tabs>
                <w:tab w:val="left" w:pos="3740"/>
              </w:tabs>
            </w:pPr>
          </w:p>
        </w:tc>
        <w:tc>
          <w:tcPr>
            <w:tcW w:w="2694" w:type="dxa"/>
          </w:tcPr>
          <w:p w:rsidR="00A84B24" w:rsidRDefault="00B11560" w:rsidP="00874345">
            <w:pPr>
              <w:tabs>
                <w:tab w:val="left" w:pos="3740"/>
              </w:tabs>
            </w:pPr>
            <w:r>
              <w:t xml:space="preserve">Schedule 2, para.1(2) </w:t>
            </w:r>
          </w:p>
        </w:tc>
        <w:tc>
          <w:tcPr>
            <w:tcW w:w="5670" w:type="dxa"/>
          </w:tcPr>
          <w:p w:rsidR="00A84B24" w:rsidRDefault="00A84B24" w:rsidP="00874345">
            <w:pPr>
              <w:tabs>
                <w:tab w:val="left" w:pos="3740"/>
              </w:tabs>
            </w:pPr>
          </w:p>
        </w:tc>
      </w:tr>
      <w:tr w:rsidR="00A84B24" w:rsidTr="00274152">
        <w:tc>
          <w:tcPr>
            <w:tcW w:w="1668" w:type="dxa"/>
          </w:tcPr>
          <w:p w:rsidR="00A84B24" w:rsidRDefault="00A84B24" w:rsidP="00874345">
            <w:pPr>
              <w:tabs>
                <w:tab w:val="left" w:pos="3740"/>
              </w:tabs>
            </w:pPr>
          </w:p>
        </w:tc>
        <w:tc>
          <w:tcPr>
            <w:tcW w:w="2551" w:type="dxa"/>
          </w:tcPr>
          <w:p w:rsidR="00A84B24" w:rsidRDefault="00B11560" w:rsidP="00874345">
            <w:pPr>
              <w:tabs>
                <w:tab w:val="left" w:pos="3740"/>
              </w:tabs>
            </w:pPr>
            <w:r>
              <w:t>University of Cambridge</w:t>
            </w:r>
          </w:p>
          <w:p w:rsidR="00C10FAB" w:rsidRDefault="00C10FAB" w:rsidP="00874345">
            <w:pPr>
              <w:tabs>
                <w:tab w:val="left" w:pos="3740"/>
              </w:tabs>
            </w:pPr>
          </w:p>
        </w:tc>
        <w:tc>
          <w:tcPr>
            <w:tcW w:w="2126" w:type="dxa"/>
          </w:tcPr>
          <w:p w:rsidR="00A84B24" w:rsidRDefault="00A84B24" w:rsidP="00874345">
            <w:pPr>
              <w:tabs>
                <w:tab w:val="left" w:pos="3740"/>
              </w:tabs>
            </w:pPr>
          </w:p>
        </w:tc>
        <w:tc>
          <w:tcPr>
            <w:tcW w:w="2694" w:type="dxa"/>
          </w:tcPr>
          <w:p w:rsidR="00A84B24" w:rsidRDefault="00B11560" w:rsidP="00874345">
            <w:pPr>
              <w:tabs>
                <w:tab w:val="left" w:pos="3740"/>
              </w:tabs>
            </w:pPr>
            <w:r>
              <w:t xml:space="preserve">Schedule 2, para.1(2) </w:t>
            </w:r>
          </w:p>
        </w:tc>
        <w:tc>
          <w:tcPr>
            <w:tcW w:w="5670" w:type="dxa"/>
          </w:tcPr>
          <w:p w:rsidR="00A84B24" w:rsidRDefault="00A84B24" w:rsidP="00874345">
            <w:pPr>
              <w:tabs>
                <w:tab w:val="left" w:pos="3740"/>
              </w:tabs>
            </w:pPr>
          </w:p>
        </w:tc>
      </w:tr>
      <w:tr w:rsidR="00A84B24" w:rsidTr="00274152">
        <w:tc>
          <w:tcPr>
            <w:tcW w:w="1668" w:type="dxa"/>
          </w:tcPr>
          <w:p w:rsidR="00A84B24" w:rsidRDefault="00A84B24" w:rsidP="00874345">
            <w:pPr>
              <w:tabs>
                <w:tab w:val="left" w:pos="3740"/>
              </w:tabs>
            </w:pPr>
          </w:p>
        </w:tc>
        <w:tc>
          <w:tcPr>
            <w:tcW w:w="2551" w:type="dxa"/>
          </w:tcPr>
          <w:p w:rsidR="00A84B24" w:rsidRDefault="00B11560" w:rsidP="00874345">
            <w:pPr>
              <w:tabs>
                <w:tab w:val="left" w:pos="3740"/>
              </w:tabs>
            </w:pPr>
            <w:r>
              <w:t>University of London</w:t>
            </w:r>
          </w:p>
          <w:p w:rsidR="00C10FAB" w:rsidRDefault="00C10FAB" w:rsidP="00874345">
            <w:pPr>
              <w:tabs>
                <w:tab w:val="left" w:pos="3740"/>
              </w:tabs>
            </w:pPr>
          </w:p>
        </w:tc>
        <w:tc>
          <w:tcPr>
            <w:tcW w:w="2126" w:type="dxa"/>
          </w:tcPr>
          <w:p w:rsidR="00A84B24" w:rsidRDefault="00A84B24" w:rsidP="00874345">
            <w:pPr>
              <w:tabs>
                <w:tab w:val="left" w:pos="3740"/>
              </w:tabs>
            </w:pPr>
          </w:p>
        </w:tc>
        <w:tc>
          <w:tcPr>
            <w:tcW w:w="2694" w:type="dxa"/>
          </w:tcPr>
          <w:p w:rsidR="00A84B24" w:rsidRDefault="00B11560" w:rsidP="00874345">
            <w:pPr>
              <w:tabs>
                <w:tab w:val="left" w:pos="3740"/>
              </w:tabs>
            </w:pPr>
            <w:r>
              <w:t xml:space="preserve">Schedule 2, para.1(2) </w:t>
            </w:r>
          </w:p>
        </w:tc>
        <w:tc>
          <w:tcPr>
            <w:tcW w:w="5670" w:type="dxa"/>
          </w:tcPr>
          <w:p w:rsidR="00A84B24" w:rsidRDefault="00A84B24" w:rsidP="00874345">
            <w:pPr>
              <w:tabs>
                <w:tab w:val="left" w:pos="3740"/>
              </w:tabs>
            </w:pPr>
          </w:p>
        </w:tc>
      </w:tr>
      <w:tr w:rsidR="00A84B24" w:rsidTr="00274152">
        <w:tc>
          <w:tcPr>
            <w:tcW w:w="1668" w:type="dxa"/>
          </w:tcPr>
          <w:p w:rsidR="00A84B24" w:rsidRDefault="00A84B24" w:rsidP="00874345">
            <w:pPr>
              <w:tabs>
                <w:tab w:val="left" w:pos="3740"/>
              </w:tabs>
            </w:pPr>
          </w:p>
        </w:tc>
        <w:tc>
          <w:tcPr>
            <w:tcW w:w="2551" w:type="dxa"/>
          </w:tcPr>
          <w:p w:rsidR="00A84B24" w:rsidRDefault="00B11560" w:rsidP="00874345">
            <w:pPr>
              <w:tabs>
                <w:tab w:val="left" w:pos="3740"/>
              </w:tabs>
            </w:pPr>
            <w:r>
              <w:t>University of Oxford</w:t>
            </w:r>
          </w:p>
          <w:p w:rsidR="00C10FAB" w:rsidRDefault="00C10FAB" w:rsidP="00874345">
            <w:pPr>
              <w:tabs>
                <w:tab w:val="left" w:pos="3740"/>
              </w:tabs>
            </w:pPr>
          </w:p>
        </w:tc>
        <w:tc>
          <w:tcPr>
            <w:tcW w:w="2126" w:type="dxa"/>
          </w:tcPr>
          <w:p w:rsidR="00A84B24" w:rsidRDefault="00A84B24" w:rsidP="00874345">
            <w:pPr>
              <w:tabs>
                <w:tab w:val="left" w:pos="3740"/>
              </w:tabs>
            </w:pPr>
          </w:p>
        </w:tc>
        <w:tc>
          <w:tcPr>
            <w:tcW w:w="2694" w:type="dxa"/>
          </w:tcPr>
          <w:p w:rsidR="00A84B24" w:rsidRDefault="00B11560" w:rsidP="00874345">
            <w:pPr>
              <w:tabs>
                <w:tab w:val="left" w:pos="3740"/>
              </w:tabs>
            </w:pPr>
            <w:r>
              <w:t xml:space="preserve">Schedule 2, para.1(2) </w:t>
            </w:r>
          </w:p>
        </w:tc>
        <w:tc>
          <w:tcPr>
            <w:tcW w:w="5670" w:type="dxa"/>
          </w:tcPr>
          <w:p w:rsidR="00A84B24" w:rsidRDefault="00A84B24" w:rsidP="00874345">
            <w:pPr>
              <w:tabs>
                <w:tab w:val="left" w:pos="3740"/>
              </w:tabs>
            </w:pPr>
          </w:p>
        </w:tc>
      </w:tr>
      <w:tr w:rsidR="00A84B24" w:rsidTr="00274152">
        <w:tc>
          <w:tcPr>
            <w:tcW w:w="1668" w:type="dxa"/>
          </w:tcPr>
          <w:p w:rsidR="00A84B24" w:rsidRDefault="00A84B24" w:rsidP="00874345">
            <w:pPr>
              <w:tabs>
                <w:tab w:val="left" w:pos="3740"/>
              </w:tabs>
            </w:pPr>
          </w:p>
        </w:tc>
        <w:tc>
          <w:tcPr>
            <w:tcW w:w="2551" w:type="dxa"/>
          </w:tcPr>
          <w:p w:rsidR="00A84B24" w:rsidRDefault="00B11560" w:rsidP="00874345">
            <w:pPr>
              <w:tabs>
                <w:tab w:val="left" w:pos="3740"/>
              </w:tabs>
            </w:pPr>
            <w:r>
              <w:t>University of Warwick</w:t>
            </w:r>
          </w:p>
        </w:tc>
        <w:tc>
          <w:tcPr>
            <w:tcW w:w="2126" w:type="dxa"/>
          </w:tcPr>
          <w:p w:rsidR="00A84B24" w:rsidRDefault="00A84B24" w:rsidP="00874345">
            <w:pPr>
              <w:tabs>
                <w:tab w:val="left" w:pos="3740"/>
              </w:tabs>
            </w:pPr>
          </w:p>
        </w:tc>
        <w:tc>
          <w:tcPr>
            <w:tcW w:w="2694" w:type="dxa"/>
          </w:tcPr>
          <w:p w:rsidR="00A84B24" w:rsidRDefault="00B11560" w:rsidP="00874345">
            <w:pPr>
              <w:tabs>
                <w:tab w:val="left" w:pos="3740"/>
              </w:tabs>
            </w:pPr>
            <w:r>
              <w:t>Schedule 2, para.1(3)</w:t>
            </w:r>
          </w:p>
        </w:tc>
        <w:tc>
          <w:tcPr>
            <w:tcW w:w="5670" w:type="dxa"/>
          </w:tcPr>
          <w:p w:rsidR="00A84B24" w:rsidRDefault="00B11560" w:rsidP="00874345">
            <w:pPr>
              <w:tabs>
                <w:tab w:val="left" w:pos="3740"/>
              </w:tabs>
            </w:pPr>
            <w:r>
              <w:t>Appointed as representative body at</w:t>
            </w:r>
            <w:r w:rsidR="00EC0FAC">
              <w:t xml:space="preserve"> Annual Meeting on 21 May 1966</w:t>
            </w:r>
          </w:p>
        </w:tc>
      </w:tr>
      <w:tr w:rsidR="00A84B24" w:rsidTr="00274152">
        <w:tc>
          <w:tcPr>
            <w:tcW w:w="1668" w:type="dxa"/>
          </w:tcPr>
          <w:p w:rsidR="00A84B24" w:rsidRDefault="00A84B24" w:rsidP="00874345">
            <w:pPr>
              <w:tabs>
                <w:tab w:val="left" w:pos="3740"/>
              </w:tabs>
            </w:pPr>
          </w:p>
        </w:tc>
        <w:tc>
          <w:tcPr>
            <w:tcW w:w="2551" w:type="dxa"/>
          </w:tcPr>
          <w:p w:rsidR="00A84B24" w:rsidRDefault="00A84B24" w:rsidP="00874345">
            <w:pPr>
              <w:tabs>
                <w:tab w:val="left" w:pos="3740"/>
              </w:tabs>
            </w:pPr>
          </w:p>
          <w:p w:rsidR="00C10FAB" w:rsidRDefault="00C10FAB" w:rsidP="00874345">
            <w:pPr>
              <w:tabs>
                <w:tab w:val="left" w:pos="3740"/>
              </w:tabs>
            </w:pPr>
          </w:p>
          <w:p w:rsidR="00C10FAB" w:rsidRDefault="00C10FAB" w:rsidP="00874345">
            <w:pPr>
              <w:tabs>
                <w:tab w:val="left" w:pos="3740"/>
              </w:tabs>
            </w:pPr>
          </w:p>
        </w:tc>
        <w:tc>
          <w:tcPr>
            <w:tcW w:w="2126" w:type="dxa"/>
          </w:tcPr>
          <w:p w:rsidR="00A84B24" w:rsidRDefault="00785AAF" w:rsidP="00874345">
            <w:pPr>
              <w:tabs>
                <w:tab w:val="left" w:pos="3740"/>
              </w:tabs>
            </w:pPr>
            <w:r>
              <w:t>Stratford-on-Avon District Council</w:t>
            </w:r>
          </w:p>
        </w:tc>
        <w:tc>
          <w:tcPr>
            <w:tcW w:w="2694" w:type="dxa"/>
          </w:tcPr>
          <w:p w:rsidR="00A84B24" w:rsidRDefault="00B11560" w:rsidP="00874345">
            <w:pPr>
              <w:tabs>
                <w:tab w:val="left" w:pos="3740"/>
              </w:tabs>
            </w:pPr>
            <w:r>
              <w:t>Schedule 2, para.1(3)</w:t>
            </w:r>
          </w:p>
        </w:tc>
        <w:tc>
          <w:tcPr>
            <w:tcW w:w="5670" w:type="dxa"/>
          </w:tcPr>
          <w:p w:rsidR="00C10FAB" w:rsidRDefault="00B11560" w:rsidP="00874345">
            <w:pPr>
              <w:tabs>
                <w:tab w:val="left" w:pos="3740"/>
              </w:tabs>
            </w:pPr>
            <w:r>
              <w:t xml:space="preserve">Appointed as </w:t>
            </w:r>
            <w:r w:rsidR="00EC0FAC">
              <w:t xml:space="preserve">a nominating </w:t>
            </w:r>
            <w:r>
              <w:t xml:space="preserve">body </w:t>
            </w:r>
            <w:r w:rsidR="00EC0FAC">
              <w:t>in 1975</w:t>
            </w:r>
            <w:r>
              <w:t xml:space="preserve"> with reference to preference for Chairman</w:t>
            </w:r>
            <w:r w:rsidR="009C2274">
              <w:t xml:space="preserve"> as the individual appointed</w:t>
            </w:r>
            <w:r w:rsidR="00785AAF">
              <w:t xml:space="preserve"> following the abolition of the Borough Council pursuant to the Local Government Act 1972</w:t>
            </w:r>
            <w:r w:rsidR="00C10FAB">
              <w:t xml:space="preserve">. </w:t>
            </w:r>
            <w:r w:rsidR="00EC0FAC">
              <w:t xml:space="preserve">Stood down as nominating body – announcement at </w:t>
            </w:r>
            <w:r w:rsidR="00FA1DF3">
              <w:t>A</w:t>
            </w:r>
            <w:r w:rsidR="00EC0FAC">
              <w:t xml:space="preserve">nnual </w:t>
            </w:r>
            <w:r w:rsidR="00FA1DF3">
              <w:t>M</w:t>
            </w:r>
            <w:r w:rsidR="00EC0FAC">
              <w:t>eeting on 14 June 2013</w:t>
            </w:r>
          </w:p>
          <w:p w:rsidR="00EC0FAC" w:rsidRDefault="00EC0FAC" w:rsidP="00874345">
            <w:pPr>
              <w:tabs>
                <w:tab w:val="left" w:pos="3740"/>
              </w:tabs>
            </w:pPr>
          </w:p>
        </w:tc>
      </w:tr>
      <w:tr w:rsidR="00274152" w:rsidTr="00274152">
        <w:tc>
          <w:tcPr>
            <w:tcW w:w="1668" w:type="dxa"/>
          </w:tcPr>
          <w:p w:rsidR="00274152" w:rsidRDefault="00274152" w:rsidP="00874345">
            <w:pPr>
              <w:tabs>
                <w:tab w:val="left" w:pos="3740"/>
              </w:tabs>
            </w:pPr>
          </w:p>
        </w:tc>
        <w:tc>
          <w:tcPr>
            <w:tcW w:w="2551" w:type="dxa"/>
          </w:tcPr>
          <w:p w:rsidR="00274152" w:rsidRDefault="00C10FAB" w:rsidP="00874345">
            <w:pPr>
              <w:tabs>
                <w:tab w:val="left" w:pos="3740"/>
              </w:tabs>
            </w:pPr>
            <w:r>
              <w:t>English Speaking Union</w:t>
            </w:r>
          </w:p>
          <w:p w:rsidR="00C10FAB" w:rsidRDefault="00C10FAB" w:rsidP="00874345">
            <w:pPr>
              <w:tabs>
                <w:tab w:val="left" w:pos="3740"/>
              </w:tabs>
            </w:pPr>
          </w:p>
        </w:tc>
        <w:tc>
          <w:tcPr>
            <w:tcW w:w="2126" w:type="dxa"/>
          </w:tcPr>
          <w:p w:rsidR="00274152" w:rsidRDefault="00274152" w:rsidP="00874345">
            <w:pPr>
              <w:tabs>
                <w:tab w:val="left" w:pos="3740"/>
              </w:tabs>
            </w:pPr>
          </w:p>
          <w:p w:rsidR="00274152" w:rsidRDefault="00274152" w:rsidP="00874345">
            <w:pPr>
              <w:tabs>
                <w:tab w:val="left" w:pos="3740"/>
              </w:tabs>
            </w:pPr>
          </w:p>
        </w:tc>
        <w:tc>
          <w:tcPr>
            <w:tcW w:w="2694" w:type="dxa"/>
          </w:tcPr>
          <w:p w:rsidR="00274152" w:rsidRDefault="00274152" w:rsidP="00874345">
            <w:pPr>
              <w:tabs>
                <w:tab w:val="left" w:pos="3740"/>
              </w:tabs>
            </w:pPr>
          </w:p>
          <w:p w:rsidR="00274152" w:rsidRDefault="00274152" w:rsidP="00874345">
            <w:pPr>
              <w:tabs>
                <w:tab w:val="left" w:pos="3740"/>
              </w:tabs>
            </w:pPr>
          </w:p>
        </w:tc>
        <w:tc>
          <w:tcPr>
            <w:tcW w:w="5670" w:type="dxa"/>
          </w:tcPr>
          <w:p w:rsidR="00274152" w:rsidRDefault="00FA1DF3" w:rsidP="00874345">
            <w:pPr>
              <w:tabs>
                <w:tab w:val="left" w:pos="3740"/>
              </w:tabs>
            </w:pPr>
            <w:r>
              <w:t>Appointed as representative body at Annual Meeting on 15 June 2012</w:t>
            </w:r>
          </w:p>
        </w:tc>
      </w:tr>
      <w:tr w:rsidR="00274152" w:rsidTr="00274152">
        <w:tc>
          <w:tcPr>
            <w:tcW w:w="1668" w:type="dxa"/>
          </w:tcPr>
          <w:p w:rsidR="00274152" w:rsidRDefault="00274152" w:rsidP="00874345">
            <w:pPr>
              <w:tabs>
                <w:tab w:val="left" w:pos="3740"/>
              </w:tabs>
            </w:pPr>
          </w:p>
        </w:tc>
        <w:tc>
          <w:tcPr>
            <w:tcW w:w="2551" w:type="dxa"/>
          </w:tcPr>
          <w:p w:rsidR="00274152" w:rsidRDefault="00C10FAB" w:rsidP="00874345">
            <w:pPr>
              <w:tabs>
                <w:tab w:val="left" w:pos="3740"/>
              </w:tabs>
            </w:pPr>
            <w:r>
              <w:t>Shakespeare’s Globe</w:t>
            </w:r>
          </w:p>
          <w:p w:rsidR="00C10FAB" w:rsidRDefault="00C10FAB" w:rsidP="00874345">
            <w:pPr>
              <w:tabs>
                <w:tab w:val="left" w:pos="3740"/>
              </w:tabs>
            </w:pPr>
          </w:p>
        </w:tc>
        <w:tc>
          <w:tcPr>
            <w:tcW w:w="2126" w:type="dxa"/>
          </w:tcPr>
          <w:p w:rsidR="00274152" w:rsidRDefault="00274152" w:rsidP="00874345">
            <w:pPr>
              <w:tabs>
                <w:tab w:val="left" w:pos="3740"/>
              </w:tabs>
            </w:pPr>
          </w:p>
        </w:tc>
        <w:tc>
          <w:tcPr>
            <w:tcW w:w="2694" w:type="dxa"/>
          </w:tcPr>
          <w:p w:rsidR="00274152" w:rsidRDefault="00274152" w:rsidP="00874345">
            <w:pPr>
              <w:tabs>
                <w:tab w:val="left" w:pos="3740"/>
              </w:tabs>
            </w:pPr>
          </w:p>
        </w:tc>
        <w:tc>
          <w:tcPr>
            <w:tcW w:w="5670" w:type="dxa"/>
          </w:tcPr>
          <w:p w:rsidR="00274152" w:rsidRDefault="00FA1DF3" w:rsidP="00874345">
            <w:pPr>
              <w:tabs>
                <w:tab w:val="left" w:pos="3740"/>
              </w:tabs>
            </w:pPr>
            <w:r>
              <w:t>Appointed as representative body at Annual Meeting on 15 June 2012</w:t>
            </w:r>
          </w:p>
        </w:tc>
      </w:tr>
      <w:tr w:rsidR="00274152" w:rsidTr="00274152">
        <w:tc>
          <w:tcPr>
            <w:tcW w:w="1668" w:type="dxa"/>
          </w:tcPr>
          <w:p w:rsidR="00274152" w:rsidRDefault="00274152" w:rsidP="00874345">
            <w:pPr>
              <w:tabs>
                <w:tab w:val="left" w:pos="3740"/>
              </w:tabs>
            </w:pPr>
          </w:p>
        </w:tc>
        <w:tc>
          <w:tcPr>
            <w:tcW w:w="2551" w:type="dxa"/>
          </w:tcPr>
          <w:p w:rsidR="00274152" w:rsidRDefault="00C10FAB" w:rsidP="00874345">
            <w:pPr>
              <w:tabs>
                <w:tab w:val="left" w:pos="3740"/>
              </w:tabs>
            </w:pPr>
            <w:r>
              <w:t>Visit England</w:t>
            </w:r>
          </w:p>
        </w:tc>
        <w:tc>
          <w:tcPr>
            <w:tcW w:w="2126" w:type="dxa"/>
          </w:tcPr>
          <w:p w:rsidR="00274152" w:rsidRDefault="00274152" w:rsidP="00874345">
            <w:pPr>
              <w:tabs>
                <w:tab w:val="left" w:pos="3740"/>
              </w:tabs>
            </w:pPr>
          </w:p>
          <w:p w:rsidR="00274152" w:rsidRDefault="00274152" w:rsidP="00874345">
            <w:pPr>
              <w:tabs>
                <w:tab w:val="left" w:pos="3740"/>
              </w:tabs>
            </w:pPr>
          </w:p>
        </w:tc>
        <w:tc>
          <w:tcPr>
            <w:tcW w:w="2694" w:type="dxa"/>
          </w:tcPr>
          <w:p w:rsidR="00274152" w:rsidRDefault="00274152" w:rsidP="00874345">
            <w:pPr>
              <w:tabs>
                <w:tab w:val="left" w:pos="3740"/>
              </w:tabs>
            </w:pPr>
          </w:p>
        </w:tc>
        <w:tc>
          <w:tcPr>
            <w:tcW w:w="5670" w:type="dxa"/>
          </w:tcPr>
          <w:p w:rsidR="00274152" w:rsidRDefault="00FA1DF3" w:rsidP="00874345">
            <w:pPr>
              <w:tabs>
                <w:tab w:val="left" w:pos="3740"/>
              </w:tabs>
            </w:pPr>
            <w:r>
              <w:t>Appointed as representative body at Annual Meeting on 1</w:t>
            </w:r>
            <w:r w:rsidR="00935AC7">
              <w:t>4</w:t>
            </w:r>
            <w:r>
              <w:t xml:space="preserve"> June 201</w:t>
            </w:r>
            <w:r w:rsidR="00935AC7">
              <w:t>3</w:t>
            </w:r>
          </w:p>
        </w:tc>
      </w:tr>
      <w:tr w:rsidR="001452D2" w:rsidTr="00274152">
        <w:tc>
          <w:tcPr>
            <w:tcW w:w="1668" w:type="dxa"/>
          </w:tcPr>
          <w:p w:rsidR="001452D2" w:rsidRDefault="001452D2" w:rsidP="00874345">
            <w:pPr>
              <w:tabs>
                <w:tab w:val="left" w:pos="3740"/>
              </w:tabs>
            </w:pPr>
            <w:r>
              <w:t>Five local Trustees appointed by the Trustees</w:t>
            </w:r>
          </w:p>
        </w:tc>
        <w:tc>
          <w:tcPr>
            <w:tcW w:w="2551" w:type="dxa"/>
          </w:tcPr>
          <w:p w:rsidR="001452D2" w:rsidRDefault="001452D2" w:rsidP="00874345">
            <w:pPr>
              <w:tabs>
                <w:tab w:val="left" w:pos="3740"/>
              </w:tabs>
            </w:pPr>
          </w:p>
        </w:tc>
        <w:tc>
          <w:tcPr>
            <w:tcW w:w="2126" w:type="dxa"/>
          </w:tcPr>
          <w:p w:rsidR="001452D2" w:rsidRDefault="001452D2" w:rsidP="00874345">
            <w:pPr>
              <w:tabs>
                <w:tab w:val="left" w:pos="3740"/>
              </w:tabs>
            </w:pPr>
          </w:p>
        </w:tc>
        <w:tc>
          <w:tcPr>
            <w:tcW w:w="2694" w:type="dxa"/>
          </w:tcPr>
          <w:p w:rsidR="001452D2" w:rsidRDefault="001452D2" w:rsidP="00874345">
            <w:pPr>
              <w:tabs>
                <w:tab w:val="left" w:pos="3740"/>
              </w:tabs>
            </w:pPr>
            <w:r>
              <w:t>Schedule 2, para. 1(1)(d)</w:t>
            </w:r>
          </w:p>
        </w:tc>
        <w:tc>
          <w:tcPr>
            <w:tcW w:w="5670" w:type="dxa"/>
          </w:tcPr>
          <w:p w:rsidR="001452D2" w:rsidRDefault="001452D2" w:rsidP="00874345">
            <w:pPr>
              <w:tabs>
                <w:tab w:val="left" w:pos="3740"/>
              </w:tabs>
            </w:pPr>
          </w:p>
        </w:tc>
      </w:tr>
    </w:tbl>
    <w:p w:rsidR="00721F8A" w:rsidRDefault="00721F8A" w:rsidP="00721F8A">
      <w:pPr>
        <w:tabs>
          <w:tab w:val="left" w:pos="3740"/>
        </w:tabs>
        <w:jc w:val="both"/>
      </w:pPr>
    </w:p>
    <w:p w:rsidR="00721F8A" w:rsidRDefault="00721F8A" w:rsidP="00721F8A">
      <w:pPr>
        <w:jc w:val="center"/>
      </w:pPr>
    </w:p>
    <w:p w:rsidR="00721F8A" w:rsidRDefault="00721F8A"/>
    <w:sectPr w:rsidR="00721F8A" w:rsidSect="00C03B43">
      <w:footerReference w:type="default" r:id="rId6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DA8" w:rsidRDefault="00D47DA8" w:rsidP="00EA7D8F">
      <w:pPr>
        <w:spacing w:after="0"/>
      </w:pPr>
      <w:r>
        <w:separator/>
      </w:r>
    </w:p>
  </w:endnote>
  <w:endnote w:type="continuationSeparator" w:id="0">
    <w:p w:rsidR="00D47DA8" w:rsidRDefault="00D47DA8" w:rsidP="00EA7D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D8F" w:rsidRDefault="00EA7D8F">
    <w:pPr>
      <w:pStyle w:val="Footer"/>
    </w:pPr>
    <w:r>
      <w:t>MVL/JJ2/SHA41.5/Schedule of Charity Trustees</w:t>
    </w:r>
    <w:r w:rsidR="00C10FAB">
      <w:t xml:space="preserve"> V</w:t>
    </w:r>
    <w:r w:rsidR="00FA1DF3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DA8" w:rsidRDefault="00D47DA8" w:rsidP="00EA7D8F">
      <w:pPr>
        <w:spacing w:after="0"/>
      </w:pPr>
      <w:r>
        <w:separator/>
      </w:r>
    </w:p>
  </w:footnote>
  <w:footnote w:type="continuationSeparator" w:id="0">
    <w:p w:rsidR="00D47DA8" w:rsidRDefault="00D47DA8" w:rsidP="00EA7D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8A"/>
    <w:rsid w:val="00126EF7"/>
    <w:rsid w:val="001452D2"/>
    <w:rsid w:val="001F4AE0"/>
    <w:rsid w:val="002258EE"/>
    <w:rsid w:val="0026520C"/>
    <w:rsid w:val="00274152"/>
    <w:rsid w:val="002A5CCB"/>
    <w:rsid w:val="003759F5"/>
    <w:rsid w:val="00407D2B"/>
    <w:rsid w:val="00424F74"/>
    <w:rsid w:val="0042625D"/>
    <w:rsid w:val="004743B1"/>
    <w:rsid w:val="004E5C12"/>
    <w:rsid w:val="005D2756"/>
    <w:rsid w:val="005D328E"/>
    <w:rsid w:val="006625E1"/>
    <w:rsid w:val="00702F8F"/>
    <w:rsid w:val="00721F8A"/>
    <w:rsid w:val="00767708"/>
    <w:rsid w:val="00785AAF"/>
    <w:rsid w:val="00874345"/>
    <w:rsid w:val="008F25A8"/>
    <w:rsid w:val="00917B46"/>
    <w:rsid w:val="00935AC7"/>
    <w:rsid w:val="00983772"/>
    <w:rsid w:val="009C2274"/>
    <w:rsid w:val="00A84B24"/>
    <w:rsid w:val="00AC5F81"/>
    <w:rsid w:val="00B11560"/>
    <w:rsid w:val="00B9743D"/>
    <w:rsid w:val="00C03B43"/>
    <w:rsid w:val="00C10FAB"/>
    <w:rsid w:val="00C67E50"/>
    <w:rsid w:val="00C703E6"/>
    <w:rsid w:val="00C85BE9"/>
    <w:rsid w:val="00D16ED1"/>
    <w:rsid w:val="00D47DA8"/>
    <w:rsid w:val="00D51322"/>
    <w:rsid w:val="00DF5B61"/>
    <w:rsid w:val="00E642FB"/>
    <w:rsid w:val="00EA7D8F"/>
    <w:rsid w:val="00EB5EBC"/>
    <w:rsid w:val="00EC0FAC"/>
    <w:rsid w:val="00F303B6"/>
    <w:rsid w:val="00FA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5D5DA-480B-467E-AE24-942FDA47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F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F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7D8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7D8F"/>
  </w:style>
  <w:style w:type="paragraph" w:styleId="Footer">
    <w:name w:val="footer"/>
    <w:basedOn w:val="Normal"/>
    <w:link w:val="FooterChar"/>
    <w:uiPriority w:val="99"/>
    <w:unhideWhenUsed/>
    <w:rsid w:val="00EA7D8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7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Jones</dc:creator>
  <cp:lastModifiedBy>Jane Hartnell</cp:lastModifiedBy>
  <cp:revision>2</cp:revision>
  <cp:lastPrinted>2014-10-08T06:41:00Z</cp:lastPrinted>
  <dcterms:created xsi:type="dcterms:W3CDTF">2016-05-16T14:09:00Z</dcterms:created>
  <dcterms:modified xsi:type="dcterms:W3CDTF">2016-05-16T14:09:00Z</dcterms:modified>
</cp:coreProperties>
</file>